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9DDE">
      <w:pPr>
        <w:widowControl w:val="0"/>
        <w:spacing w:line="640" w:lineRule="exact"/>
        <w:ind w:left="0" w:leftChars="0" w:right="0" w:rightChars="0" w:firstLine="0" w:firstLineChars="0"/>
        <w:jc w:val="center"/>
        <w:rPr>
          <w:rFonts w:hint="eastAsia" w:ascii="Times New Roman" w:hAnsi="方正小标宋简体" w:eastAsia="方正小标宋简体" w:cs="方正小标宋简体"/>
          <w:b w:val="0"/>
          <w:i w:val="0"/>
          <w:sz w:val="44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z w:val="44"/>
        </w:rPr>
        <w:t>企业文化：企业长期发展的价值根基</w:t>
      </w:r>
    </w:p>
    <w:p w14:paraId="72FDFC62">
      <w:pPr>
        <w:widowControl w:val="0"/>
        <w:spacing w:line="640" w:lineRule="exact"/>
        <w:ind w:left="0" w:leftChars="0" w:right="0" w:rightChars="0" w:firstLine="0" w:firstLineChars="0"/>
        <w:jc w:val="center"/>
        <w:rPr>
          <w:rFonts w:hint="eastAsia" w:ascii="Times New Roman" w:hAnsi="方正小标宋简体" w:eastAsia="方正小标宋简体" w:cs="方正小标宋简体"/>
          <w:b w:val="0"/>
          <w:i w:val="0"/>
          <w:sz w:val="44"/>
        </w:rPr>
      </w:pPr>
    </w:p>
    <w:p w14:paraId="4DAC2A3A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  <w:t>从本质上看，企业文化并非单一的精神符号，而是企业在长期经营实践中沉淀的战略定位、发展理念、专业能力、价值取向与精神品质的系统性集合，是贯穿于战略决策、运营管理、市场竞争与员工行为的全维度价值载体。对于企业而言，文化不仅是对外展现品牌形象的“软实力”，更是支撑其抵御市场周期波动、应对行业变革挑战、实现长期稳定健康发展的“硬底气”与“源动力”——它既能在顺境中凝聚组织共识、避免战略冒进，又能在逆境中激发团队韧性、锚定发展方向，成为企业穿越发展周期、构建核心竞争力的“护城河”。</w:t>
      </w:r>
    </w:p>
    <w:p w14:paraId="6E51672D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  <w:t>基于这一认知，企业在数十年的发展历程中，始终将企业文化建设置于顶层战略设计的核心位置，坚决避免“文化与业务两张皮”的形式化误区，而是以“融入业务、指导实践、赋能发展”为原则，将文化建设与战略规划、组织架构优化、人才队伍建设、风险管理体系完善同部署、同推进、同考核。在行业文化建设的整体框架下，企业紧紧围绕“合规、诚信、专业、稳健”四大核心理念，结合自身所处领域的业务特性、客户需求与发展阶段特征，构建了可落地、可感知、可评估的文化践行路径：</w:t>
      </w:r>
    </w:p>
    <w:p w14:paraId="64C93116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在“合规”理念践行上，企业建立覆盖业务全流程的合规管理体系，从产品研发、客户签约、资金运作到售后服务，将合规要求嵌入每个业务节点，通过定期开展合规培训、案例警示教育、流程合规审计，推动“合规是底线、更是生命线”的意识深入人心，近三年累计修订合规制度23项，排查并整改潜在合规风险点117个，确保经营活动始终在法律法规与行业准则的框架内规范开展；</w:t>
      </w:r>
    </w:p>
    <w:p w14:paraId="55B74953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在“诚信”理念落地中，企业以客户信任为经营之本，构建透明化的信息披露机制——针对客户最关心的服务收费、风险提示、权益保障等内容，通过线上服务平台、线下服务网点、客户沟通会等多渠道主动公示，同时建立“客户投诉快速响应机制”，承诺24小时内反馈处理方案，近五年客户满意度保持在98.5%以上，连续三年获评“行业诚信经营示范单位”；</w:t>
      </w:r>
    </w:p>
    <w:p w14:paraId="7F9AB474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在“专业”能力塑造上，企业聚焦核心业务领域，搭建“分层分类的专业人才培养体系”，通过“导师制”“项目实战”“行业前沿技术研修”等方式，推动员工专业能力与行业发展同步升级，目前企业核心业务岗位员工持证率达100%，累计获得行业权威专业认证56项，主导或参与制定行业标准8项，以专业能力为客户创造更高价值；</w:t>
      </w:r>
    </w:p>
    <w:p w14:paraId="2F94B625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在“稳健”发展把控中，企业将稳健理念融入战略决策与资源配置，建立“风险预警-评估-应对-复盘”的全流程管控机制，在市场扩张、项目投资、创新业务探索中，始终坚持“风险可控、收益可持续”的原则，近十年资产负债率稳定在合理区间，未发生重大经营风险事件，为企业长期发展奠定了坚实基础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。</w:t>
      </w:r>
    </w:p>
    <w:p w14:paraId="6CBA91B6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  <w:t>在此基础上，企业进一步以“爱国敬业、服务社会、合规诚信、共建共享”为核心价值观，将文化建设与国家战略、社会需求、员工发展深度绑定：在“爱国敬业”层面，企业主动将业务发展融入国家实体经济发展、产业升级、区域协调发展等战略布局，近五年累计投入超20亿元支持中小微企业发展、乡村振兴产业项目，引导员工树立“企业兴则国家兴”的职业信念；在“服务社会”层面，企业建立常态化社会责任履行机制，成立“企业公益基金会”，聚焦教育帮扶、乡村医疗、绿色低碳三大领域，累计捐赠资金超3亿元，组织员工参与志愿服务超10万人次，推动企业价值与社会发展需求深度融合；在“共建共享”层面，企业构建“员工与企业共同成长”的激励机制，通过股权激励、职业发展通道优化、员工福利升级等举措，让员工共享企业发展成果，近三年员工收入年均增长8.2%，核心员工留存率达92%。</w:t>
      </w:r>
    </w:p>
    <w:p w14:paraId="05668128">
      <w:pPr>
        <w:widowControl w:val="0"/>
        <w:spacing w:line="579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  <w:t>经过长期的战略引领、理念渗透与实践沉淀，企业已逐步形成“以战略为导向、以合规为底线、以诚信为根基、以专业为支撑、以社会责任为使命”的特色企业文化体系。这一体系不仅涵盖了精神文化层面的理念共识、制度文化层面的规则保障，更包含了行为文化层面的实践落地，既为企业内部管理提供了统一的价值标尺与行动指南，有效提升了组织协同效率与风险抵御能力，也成为企业对外展现品牌形象、增强市场认可度与社会美誉度的重要支撑，推动企业在实现经济效益稳步增长的同时，持续创造更大的社会效益，为长期稳定健康发展注入了源源不断的动力。</w:t>
      </w: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418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449A0">
    <w:pPr>
      <w:pStyle w:val="3"/>
      <w:ind w:left="210" w:leftChars="100" w:right="210" w:rightChars="100"/>
      <w:jc w:val="right"/>
      <w:rPr>
        <w:rFonts w:hint="eastAsia" w:ascii="Times New Roman" w:hAnsi="宋体" w:eastAsia="宋体" w:cs="宋体"/>
        <w:sz w:val="28"/>
        <w:lang w:eastAsia="zh-CN"/>
      </w:rPr>
    </w:pPr>
    <w:r>
      <w:rPr>
        <w:rFonts w:hint="eastAsia" w:ascii="Times New Roman" w:hAnsi="宋体" w:eastAsia="宋体" w:cs="宋体"/>
        <w:sz w:val="28"/>
        <w:lang w:eastAsia="zh-CN"/>
      </w:rPr>
      <w:t>—</w:t>
    </w:r>
    <w:r>
      <w:rPr>
        <w:rFonts w:hint="eastAsia" w:ascii="Times New Roman" w:hAnsi="宋体" w:eastAsia="宋体" w:cs="宋体"/>
        <w:sz w:val="28"/>
        <w:lang w:eastAsia="zh-CN"/>
      </w:rPr>
      <w:fldChar w:fldCharType="begin"/>
    </w:r>
    <w:r>
      <w:rPr>
        <w:rFonts w:hint="eastAsia" w:ascii="Times New Roman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Times New Roman" w:hAnsi="宋体" w:eastAsia="宋体" w:cs="宋体"/>
        <w:sz w:val="28"/>
        <w:lang w:eastAsia="zh-CN"/>
      </w:rPr>
      <w:fldChar w:fldCharType="separate"/>
    </w:r>
    <w:r>
      <w:rPr>
        <w:rFonts w:hint="eastAsia" w:ascii="Times New Roman" w:hAnsi="宋体" w:eastAsia="宋体" w:cs="宋体"/>
        <w:sz w:val="28"/>
        <w:lang w:eastAsia="zh-CN"/>
      </w:rPr>
      <w:t>1</w:t>
    </w:r>
    <w:r>
      <w:rPr>
        <w:rFonts w:hint="eastAsia" w:ascii="Times New Roman" w:hAnsi="宋体" w:eastAsia="宋体" w:cs="宋体"/>
        <w:sz w:val="28"/>
        <w:lang w:eastAsia="zh-CN"/>
      </w:rPr>
      <w:fldChar w:fldCharType="end"/>
    </w:r>
    <w:r>
      <w:rPr>
        <w:rFonts w:hint="eastAsia" w:ascii="Times New Roman" w:hAnsi="宋体" w:eastAsia="宋体" w:cs="宋体"/>
        <w:sz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AB3E7">
    <w:pPr>
      <w:pStyle w:val="3"/>
      <w:spacing w:line="240" w:lineRule="auto"/>
      <w:ind w:left="210" w:leftChars="100" w:right="210" w:rightChars="100"/>
      <w:jc w:val="left"/>
      <w:rPr>
        <w:rFonts w:hint="eastAsia" w:ascii="Times New Roman" w:hAnsi="宋体" w:eastAsia="宋体" w:cs="宋体"/>
        <w:sz w:val="28"/>
        <w:lang w:eastAsia="zh-CN"/>
      </w:rPr>
    </w:pPr>
    <w:r>
      <w:rPr>
        <w:rFonts w:hint="eastAsia" w:ascii="Times New Roman" w:hAnsi="宋体" w:eastAsia="宋体" w:cs="宋体"/>
        <w:sz w:val="28"/>
        <w:lang w:eastAsia="zh-CN"/>
      </w:rPr>
      <w:t>—</w:t>
    </w:r>
    <w:r>
      <w:rPr>
        <w:rFonts w:hint="eastAsia" w:ascii="Times New Roman" w:hAnsi="宋体" w:eastAsia="宋体" w:cs="宋体"/>
        <w:sz w:val="28"/>
        <w:lang w:eastAsia="zh-CN"/>
      </w:rPr>
      <w:fldChar w:fldCharType="begin"/>
    </w:r>
    <w:r>
      <w:rPr>
        <w:rFonts w:hint="eastAsia" w:ascii="Times New Roman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Times New Roman" w:hAnsi="宋体" w:eastAsia="宋体" w:cs="宋体"/>
        <w:sz w:val="28"/>
        <w:lang w:eastAsia="zh-CN"/>
      </w:rPr>
      <w:fldChar w:fldCharType="separate"/>
    </w:r>
    <w:r>
      <w:rPr>
        <w:rFonts w:hint="eastAsia" w:ascii="Times New Roman" w:hAnsi="宋体" w:eastAsia="宋体" w:cs="宋体"/>
        <w:sz w:val="28"/>
        <w:lang w:eastAsia="zh-CN"/>
      </w:rPr>
      <w:t>2</w:t>
    </w:r>
    <w:r>
      <w:rPr>
        <w:rFonts w:hint="eastAsia" w:ascii="Times New Roman" w:hAnsi="宋体" w:eastAsia="宋体" w:cs="宋体"/>
        <w:sz w:val="28"/>
        <w:lang w:eastAsia="zh-CN"/>
      </w:rPr>
      <w:fldChar w:fldCharType="end"/>
    </w:r>
    <w:r>
      <w:rPr>
        <w:rFonts w:hint="eastAsia" w:ascii="Times New Roman" w:hAnsi="宋体" w:eastAsia="宋体" w:cs="宋体"/>
        <w:sz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957E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A38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C6453"/>
    <w:rsid w:val="052B2A87"/>
    <w:rsid w:val="3B5C6453"/>
    <w:rsid w:val="47905DCC"/>
    <w:rsid w:val="61F35EC9"/>
    <w:rsid w:val="7DB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2025-09-23T09:00:00Z</dcterms:created>
  <dc:creator>田卫</dc:creator>
  <cp:lastModifiedBy>田卫</cp:lastModifiedBy>
  <dcterms:modified xsi:type="dcterms:W3CDTF">2025-09-23T09:03:10Z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9C8E2B67611B4DCD96E5560581974843_11</vt:lpwstr>
  </property>
  <property fmtid="{D5CDD505-2E9C-101B-9397-08002B2CF9AE}" pid="4" name="KSOTemplateDocerSaveRecord">
    <vt:lpwstr>eyJoZGlkIjoiNmIyYmE4YjhmN2M2ZDFjN2RhNjcyNDMzMjllY2RjNjAiLCJ1c2VySWQiOiIxNzI2NzgxODQxIn0=</vt:lpwstr>
  </property>
</Properties>
</file>